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323E51" w:rsidRPr="00323E51">
        <w:rPr>
          <w:rFonts w:ascii="Arial Unicode" w:hAnsi="Arial Unicode"/>
          <w:b/>
          <w:color w:val="FF0000"/>
          <w:sz w:val="20"/>
          <w:szCs w:val="20"/>
          <w:lang w:val="ru-RU"/>
        </w:rPr>
        <w:t>26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9276E8">
        <w:rPr>
          <w:rFonts w:ascii="Arial Unicode" w:hAnsi="Arial Unicode"/>
          <w:b/>
          <w:color w:val="FF0000"/>
          <w:sz w:val="20"/>
          <w:szCs w:val="20"/>
          <w:lang w:val="ru-RU"/>
        </w:rPr>
        <w:t>сент</w:t>
      </w:r>
      <w:r w:rsidR="009276E8" w:rsidRPr="009276E8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E852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ԿԿԳՎ-ԳՀԱՊՁԲ-22/1-ՏԵՍԱԽՑԻԿ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852E1">
        <w:rPr>
          <w:rFonts w:ascii="Arial Unicode" w:hAnsi="Arial Unicode"/>
          <w:b/>
          <w:color w:val="FF0000"/>
          <w:sz w:val="20"/>
          <w:szCs w:val="20"/>
          <w:lang w:val="ru-RU"/>
        </w:rPr>
        <w:t>ВИДЕОКАМЕР БЕЗОПАСНОСТИ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E852E1">
        <w:rPr>
          <w:rFonts w:ascii="Arial Unicode" w:hAnsi="Arial Unicode"/>
          <w:b/>
          <w:color w:val="FF0000"/>
          <w:sz w:val="20"/>
          <w:szCs w:val="20"/>
          <w:lang w:val="ru-RU"/>
        </w:rPr>
        <w:t>ВИДЕОКАМЕР БЕЗОПАСНОСТИ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4E2AA6" w:rsidRDefault="004E2AA6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E852E1" w:rsidRPr="00E852E1" w:rsidRDefault="00E852E1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E852E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23E5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E852E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23E5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E852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ԿԿԳՎ-ԳՀԱՊՁԲ-22/1-ՏԵՍԱԽՑԻԿ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E852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ԿԿԳՎ-ԳՀԱՊՁԲ-22/1-ՏԵՍԱԽՑԻԿ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E852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ԿԿԳՎ-ԳՀԱՊՁԲ-22/1-ՏԵՍԱԽՑԻԿ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E852E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E852E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77B31"/>
    <w:rsid w:val="000A593C"/>
    <w:rsid w:val="000B6C92"/>
    <w:rsid w:val="000D4358"/>
    <w:rsid w:val="000F0A47"/>
    <w:rsid w:val="000F5BAE"/>
    <w:rsid w:val="00107A70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C5DFC"/>
    <w:rsid w:val="002F4D7F"/>
    <w:rsid w:val="002F5F49"/>
    <w:rsid w:val="00323E51"/>
    <w:rsid w:val="00360D98"/>
    <w:rsid w:val="003A7BD3"/>
    <w:rsid w:val="003B3477"/>
    <w:rsid w:val="003D2E3A"/>
    <w:rsid w:val="003F1B5D"/>
    <w:rsid w:val="003F60BA"/>
    <w:rsid w:val="004169EE"/>
    <w:rsid w:val="00427DC0"/>
    <w:rsid w:val="00440C0E"/>
    <w:rsid w:val="004573D9"/>
    <w:rsid w:val="00473C98"/>
    <w:rsid w:val="004E2AA6"/>
    <w:rsid w:val="00521A85"/>
    <w:rsid w:val="005323F0"/>
    <w:rsid w:val="0054356A"/>
    <w:rsid w:val="00567A08"/>
    <w:rsid w:val="00636777"/>
    <w:rsid w:val="00646FC2"/>
    <w:rsid w:val="0069561E"/>
    <w:rsid w:val="006B14A3"/>
    <w:rsid w:val="006C57A6"/>
    <w:rsid w:val="006E6446"/>
    <w:rsid w:val="007B325B"/>
    <w:rsid w:val="007F2445"/>
    <w:rsid w:val="00815A8F"/>
    <w:rsid w:val="0083763C"/>
    <w:rsid w:val="00851475"/>
    <w:rsid w:val="00886FB1"/>
    <w:rsid w:val="00917EF5"/>
    <w:rsid w:val="009276E8"/>
    <w:rsid w:val="009308F6"/>
    <w:rsid w:val="009A6AA9"/>
    <w:rsid w:val="00A34E23"/>
    <w:rsid w:val="00A36087"/>
    <w:rsid w:val="00A45386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852E1"/>
    <w:rsid w:val="00E91C3A"/>
    <w:rsid w:val="00EA7BFD"/>
    <w:rsid w:val="00EC7228"/>
    <w:rsid w:val="00EF0443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33</cp:revision>
  <cp:lastPrinted>2022-08-09T06:36:00Z</cp:lastPrinted>
  <dcterms:created xsi:type="dcterms:W3CDTF">2019-06-20T08:10:00Z</dcterms:created>
  <dcterms:modified xsi:type="dcterms:W3CDTF">2022-09-26T07:35:00Z</dcterms:modified>
</cp:coreProperties>
</file>